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D970B1" w14:textId="31DDF1F7" w:rsidR="00053733" w:rsidRPr="00693002" w:rsidRDefault="00053733" w:rsidP="00053733">
      <w:pPr>
        <w:pStyle w:val="a3"/>
        <w:tabs>
          <w:tab w:val="right" w:pos="9639"/>
        </w:tabs>
        <w:rPr>
          <w:rFonts w:eastAsia="MS Mincho"/>
          <w:noProof w:val="0"/>
          <w:sz w:val="24"/>
          <w:szCs w:val="24"/>
          <w:lang w:val="en-GB" w:eastAsia="en-GB"/>
        </w:rPr>
      </w:pPr>
      <w:r w:rsidRPr="00693002">
        <w:rPr>
          <w:rFonts w:eastAsia="MS Mincho"/>
          <w:noProof w:val="0"/>
          <w:sz w:val="24"/>
          <w:szCs w:val="24"/>
          <w:lang w:val="en-GB" w:eastAsia="en-GB"/>
        </w:rPr>
        <w:t>3GPP TSG-RAN WG2 Meeting #115 electronic</w:t>
      </w:r>
      <w:r w:rsidRPr="00693002">
        <w:rPr>
          <w:rFonts w:eastAsia="MS Mincho"/>
          <w:noProof w:val="0"/>
          <w:sz w:val="24"/>
          <w:szCs w:val="24"/>
          <w:lang w:val="en-GB" w:eastAsia="en-GB"/>
        </w:rPr>
        <w:tab/>
      </w:r>
      <w:r w:rsidR="0038363F" w:rsidRPr="0038363F">
        <w:rPr>
          <w:rFonts w:eastAsia="MS Mincho"/>
          <w:noProof w:val="0"/>
          <w:sz w:val="24"/>
          <w:szCs w:val="24"/>
          <w:lang w:val="en-GB" w:eastAsia="en-GB"/>
        </w:rPr>
        <w:t>R2-210791</w:t>
      </w:r>
      <w:r w:rsidR="0038363F">
        <w:rPr>
          <w:rFonts w:eastAsia="MS Mincho"/>
          <w:noProof w:val="0"/>
          <w:sz w:val="24"/>
          <w:szCs w:val="24"/>
          <w:lang w:val="en-GB" w:eastAsia="en-GB"/>
        </w:rPr>
        <w:t>5</w:t>
      </w:r>
    </w:p>
    <w:p w14:paraId="46C4DFA9" w14:textId="01B140D0" w:rsidR="00053733" w:rsidRPr="001C7FAA" w:rsidRDefault="00053733" w:rsidP="00053733">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Pr>
          <w:rFonts w:eastAsia="MS Mincho"/>
          <w:noProof w:val="0"/>
          <w:sz w:val="24"/>
          <w:szCs w:val="24"/>
          <w:lang w:val="en-GB" w:eastAsia="en-GB"/>
        </w:rPr>
        <w:t xml:space="preserve">August </w:t>
      </w:r>
      <w:r w:rsidRPr="00170AF7">
        <w:rPr>
          <w:rFonts w:eastAsia="MS Mincho"/>
          <w:noProof w:val="0"/>
          <w:sz w:val="24"/>
          <w:szCs w:val="24"/>
          <w:lang w:val="en-GB" w:eastAsia="en-GB"/>
        </w:rPr>
        <w:t xml:space="preserve">9 - </w:t>
      </w:r>
      <w:r>
        <w:rPr>
          <w:rFonts w:eastAsia="MS Mincho"/>
          <w:noProof w:val="0"/>
          <w:sz w:val="24"/>
          <w:szCs w:val="24"/>
          <w:lang w:val="en-GB" w:eastAsia="en-GB"/>
        </w:rPr>
        <w:t>August</w:t>
      </w:r>
      <w:r w:rsidRPr="00170AF7">
        <w:rPr>
          <w:rFonts w:eastAsia="MS Mincho"/>
          <w:noProof w:val="0"/>
          <w:sz w:val="24"/>
          <w:szCs w:val="24"/>
          <w:lang w:val="en-GB" w:eastAsia="en-GB"/>
        </w:rPr>
        <w:t xml:space="preserve"> 27</w:t>
      </w:r>
      <w:r w:rsidRPr="00693002">
        <w:rPr>
          <w:rFonts w:eastAsia="MS Mincho"/>
          <w:noProof w:val="0"/>
          <w:sz w:val="24"/>
          <w:szCs w:val="24"/>
          <w:lang w:val="en-GB" w:eastAsia="en-GB"/>
        </w:rPr>
        <w:t>, 2021</w:t>
      </w:r>
      <w:r w:rsidRPr="001C7FAA">
        <w:rPr>
          <w:rFonts w:eastAsia="MS Mincho"/>
          <w:noProof w:val="0"/>
          <w:sz w:val="24"/>
          <w:szCs w:val="24"/>
          <w:lang w:val="en-GB" w:eastAsia="en-GB"/>
        </w:rPr>
        <w:t xml:space="preserve"> </w:t>
      </w:r>
      <w:r>
        <w:rPr>
          <w:rFonts w:eastAsia="MS Mincho"/>
          <w:noProof w:val="0"/>
          <w:sz w:val="24"/>
          <w:szCs w:val="24"/>
          <w:lang w:val="en-GB" w:eastAsia="en-GB"/>
        </w:rPr>
        <w:t xml:space="preserve">                         </w:t>
      </w:r>
    </w:p>
    <w:p w14:paraId="547935D9" w14:textId="77777777" w:rsidR="00186BCD" w:rsidRPr="00523FD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6B67A1A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675BB9">
        <w:rPr>
          <w:rFonts w:eastAsia="宋体" w:cs="Arial"/>
          <w:b/>
          <w:bCs/>
          <w:kern w:val="2"/>
          <w:sz w:val="24"/>
          <w:szCs w:val="22"/>
          <w:lang w:val="en-US" w:eastAsia="zh-CN"/>
        </w:rPr>
        <w:t>3</w:t>
      </w:r>
    </w:p>
    <w:p w14:paraId="1508EB4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1237F278" w14:textId="23A3473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75BB9" w:rsidRPr="00675BB9">
        <w:rPr>
          <w:rFonts w:ascii="Arial" w:hAnsi="Arial" w:cs="Arial"/>
          <w:b/>
          <w:bCs/>
          <w:sz w:val="24"/>
        </w:rPr>
        <w:t>Further enhancement for PUR in IoT NTN</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47DCA9F" w14:textId="38DA5E39" w:rsidR="00C37EF3" w:rsidRDefault="005A1C0D" w:rsidP="007B7DA9">
      <w:pPr>
        <w:rPr>
          <w:rFonts w:ascii="Times New Roman" w:hAnsi="Times New Roman"/>
          <w:sz w:val="20"/>
          <w:szCs w:val="20"/>
          <w:lang w:val="en-GB"/>
        </w:rPr>
      </w:pPr>
      <w:r>
        <w:rPr>
          <w:rFonts w:ascii="Times New Roman" w:hAnsi="Times New Roman" w:hint="eastAsia"/>
          <w:sz w:val="20"/>
          <w:szCs w:val="20"/>
          <w:lang w:val="en-GB"/>
        </w:rPr>
        <w:t>RAN2</w:t>
      </w:r>
      <w:r>
        <w:rPr>
          <w:rFonts w:ascii="Times New Roman" w:hAnsi="Times New Roman"/>
          <w:sz w:val="20"/>
          <w:szCs w:val="20"/>
          <w:lang w:val="en-GB"/>
        </w:rPr>
        <w:t xml:space="preserve">#113 and </w:t>
      </w:r>
      <w:r w:rsidR="00C37EF3">
        <w:rPr>
          <w:rFonts w:ascii="Times New Roman" w:hAnsi="Times New Roman" w:hint="eastAsia"/>
          <w:sz w:val="20"/>
          <w:szCs w:val="20"/>
          <w:lang w:val="en-GB"/>
        </w:rPr>
        <w:t>RAN2</w:t>
      </w:r>
      <w:r w:rsidR="00C37EF3">
        <w:rPr>
          <w:rFonts w:ascii="Times New Roman" w:hAnsi="Times New Roman"/>
          <w:sz w:val="20"/>
          <w:szCs w:val="20"/>
          <w:lang w:val="en-GB"/>
        </w:rPr>
        <w:t>#11</w:t>
      </w:r>
      <w:r>
        <w:rPr>
          <w:rFonts w:ascii="Times New Roman" w:hAnsi="Times New Roman"/>
          <w:sz w:val="20"/>
          <w:szCs w:val="20"/>
          <w:lang w:val="en-GB"/>
        </w:rPr>
        <w:t>4</w:t>
      </w:r>
      <w:r w:rsidR="00C37EF3">
        <w:rPr>
          <w:rFonts w:ascii="Times New Roman" w:hAnsi="Times New Roman"/>
          <w:sz w:val="20"/>
          <w:szCs w:val="20"/>
          <w:lang w:val="en-GB"/>
        </w:rPr>
        <w:t xml:space="preserve"> meeting</w:t>
      </w:r>
      <w:r>
        <w:rPr>
          <w:rFonts w:ascii="Times New Roman" w:hAnsi="Times New Roman"/>
          <w:sz w:val="20"/>
          <w:szCs w:val="20"/>
          <w:lang w:val="en-GB"/>
        </w:rPr>
        <w:t>s</w:t>
      </w:r>
      <w:r w:rsidR="00C37EF3">
        <w:rPr>
          <w:rFonts w:ascii="Times New Roman" w:hAnsi="Times New Roman"/>
          <w:sz w:val="20"/>
          <w:szCs w:val="20"/>
          <w:lang w:val="en-GB"/>
        </w:rPr>
        <w:t xml:space="preserve"> made the following agreement regarding</w:t>
      </w:r>
      <w:r w:rsidR="00C37EF3" w:rsidRPr="00C37EF3">
        <w:t xml:space="preserve"> </w:t>
      </w:r>
      <w:r>
        <w:rPr>
          <w:rFonts w:ascii="Times New Roman" w:hAnsi="Times New Roman" w:hint="eastAsia"/>
          <w:sz w:val="20"/>
          <w:szCs w:val="20"/>
          <w:lang w:val="en-GB"/>
        </w:rPr>
        <w:t>PUR</w:t>
      </w:r>
      <w:r w:rsidR="00C37EF3">
        <w:rPr>
          <w:rFonts w:ascii="Times New Roman" w:hAnsi="Times New Roman"/>
          <w:sz w:val="20"/>
          <w:szCs w:val="20"/>
          <w:lang w:val="en-GB"/>
        </w:rPr>
        <w:t xml:space="preserve"> in </w:t>
      </w:r>
      <w:r w:rsidR="00AC1B82">
        <w:rPr>
          <w:rFonts w:ascii="Times New Roman" w:hAnsi="Times New Roman"/>
          <w:sz w:val="20"/>
          <w:szCs w:val="20"/>
          <w:lang w:val="en-GB"/>
        </w:rPr>
        <w:t xml:space="preserve">IoT </w:t>
      </w:r>
      <w:r w:rsidR="00C37EF3">
        <w:rPr>
          <w:rFonts w:ascii="Times New Roman" w:hAnsi="Times New Roman"/>
          <w:sz w:val="20"/>
          <w:szCs w:val="20"/>
          <w:lang w:val="en-GB"/>
        </w:rPr>
        <w:t>NTN:</w:t>
      </w:r>
    </w:p>
    <w:tbl>
      <w:tblPr>
        <w:tblStyle w:val="af1"/>
        <w:tblW w:w="0" w:type="auto"/>
        <w:tblLook w:val="04A0" w:firstRow="1" w:lastRow="0" w:firstColumn="1" w:lastColumn="0" w:noHBand="0" w:noVBand="1"/>
      </w:tblPr>
      <w:tblGrid>
        <w:gridCol w:w="9629"/>
      </w:tblGrid>
      <w:tr w:rsidR="00C37EF3" w14:paraId="457A4810" w14:textId="77777777" w:rsidTr="00C37EF3">
        <w:tc>
          <w:tcPr>
            <w:tcW w:w="9629" w:type="dxa"/>
          </w:tcPr>
          <w:p w14:paraId="17E4AF15" w14:textId="2ED73824" w:rsidR="005A1C0D" w:rsidRDefault="005A1C0D" w:rsidP="006E631A">
            <w:pPr>
              <w:pStyle w:val="Agreement"/>
              <w:tabs>
                <w:tab w:val="clear" w:pos="4680"/>
                <w:tab w:val="num" w:pos="1300"/>
              </w:tabs>
              <w:ind w:left="591" w:hanging="426"/>
              <w:rPr>
                <w:lang w:eastAsia="sv-SE"/>
              </w:rPr>
            </w:pPr>
            <w:bookmarkStart w:id="4" w:name="_Hlk61535257"/>
            <w:r w:rsidRPr="005A1C0D">
              <w:rPr>
                <w:lang w:eastAsia="sv-SE"/>
              </w:rPr>
              <w:t>From RAN2 point of view, assume that all IoT features up to R16 are supported, and can consider differently case by case when/if problems are found.</w:t>
            </w:r>
          </w:p>
          <w:p w14:paraId="28D31931" w14:textId="4CD1638B" w:rsidR="006E631A" w:rsidRPr="006E631A" w:rsidRDefault="005A1C0D" w:rsidP="006E631A">
            <w:pPr>
              <w:pStyle w:val="Agreement"/>
              <w:tabs>
                <w:tab w:val="clear" w:pos="4680"/>
                <w:tab w:val="num" w:pos="1300"/>
              </w:tabs>
              <w:ind w:left="591" w:hanging="426"/>
              <w:rPr>
                <w:lang w:eastAsia="sv-SE"/>
              </w:rPr>
            </w:pPr>
            <w:r w:rsidRPr="005A1C0D">
              <w:t>For PUR, offset is suggested to be added to the start of pur-ResponseWindowTimer. If the start of the pur-ResponseWindowTimer is accurately compensated by UE-gNB RTT, there is no need to extend pur-ResponseWindowTimer value range.</w:t>
            </w:r>
          </w:p>
        </w:tc>
      </w:tr>
    </w:tbl>
    <w:bookmarkEnd w:id="4"/>
    <w:p w14:paraId="7F2B70CA" w14:textId="6E2A978F" w:rsidR="00C37EF3" w:rsidRPr="00C37EF3" w:rsidRDefault="00A727B1" w:rsidP="007B7DA9">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his contribution aims to discuss </w:t>
      </w:r>
      <w:r w:rsidR="00185345">
        <w:rPr>
          <w:rFonts w:ascii="Times New Roman" w:hAnsi="Times New Roman"/>
          <w:sz w:val="20"/>
          <w:szCs w:val="20"/>
          <w:lang w:val="en-GB"/>
        </w:rPr>
        <w:t xml:space="preserve">potential issues and enhancements for </w:t>
      </w:r>
      <w:r w:rsidR="005A1C0D">
        <w:rPr>
          <w:rFonts w:ascii="Times New Roman" w:hAnsi="Times New Roman"/>
          <w:sz w:val="20"/>
          <w:szCs w:val="20"/>
          <w:lang w:val="en-GB"/>
        </w:rPr>
        <w:t>PUR</w:t>
      </w:r>
      <w:r w:rsidR="00AC1B82" w:rsidRPr="00AC1B82">
        <w:rPr>
          <w:rFonts w:ascii="Times New Roman" w:hAnsi="Times New Roman"/>
          <w:sz w:val="20"/>
          <w:szCs w:val="20"/>
          <w:lang w:val="en-GB"/>
        </w:rPr>
        <w:t xml:space="preserve"> </w:t>
      </w:r>
      <w:r w:rsidR="00AC1B82">
        <w:rPr>
          <w:rFonts w:ascii="Times New Roman" w:hAnsi="Times New Roman"/>
          <w:sz w:val="20"/>
          <w:szCs w:val="20"/>
          <w:lang w:val="en-GB"/>
        </w:rPr>
        <w:t>in</w:t>
      </w:r>
      <w:r w:rsidR="00AC1B82" w:rsidRPr="00AC1B82">
        <w:rPr>
          <w:rFonts w:ascii="Times New Roman" w:hAnsi="Times New Roman"/>
          <w:sz w:val="20"/>
          <w:szCs w:val="20"/>
          <w:lang w:val="en-GB"/>
        </w:rPr>
        <w:t xml:space="preserve"> IoT</w:t>
      </w:r>
      <w:r w:rsidR="00185345">
        <w:rPr>
          <w:rFonts w:ascii="Times New Roman" w:hAnsi="Times New Roman"/>
          <w:sz w:val="20"/>
          <w:szCs w:val="20"/>
          <w:lang w:val="en-GB"/>
        </w:rPr>
        <w:t xml:space="preserve"> NTN.</w:t>
      </w:r>
    </w:p>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3907D7F" w14:textId="24444288" w:rsidR="000B5197" w:rsidRPr="00CC1AF4" w:rsidRDefault="00362DA2" w:rsidP="00CC1AF4">
      <w:pPr>
        <w:spacing w:afterLines="50" w:after="156"/>
        <w:rPr>
          <w:rFonts w:ascii="Times New Roman" w:hAnsi="Times New Roman"/>
          <w:b/>
          <w:bCs/>
          <w:sz w:val="22"/>
          <w:u w:val="single"/>
          <w:lang w:val="en-GB"/>
        </w:rPr>
      </w:pPr>
      <w:r>
        <w:rPr>
          <w:rFonts w:ascii="Times New Roman" w:hAnsi="Times New Roman"/>
          <w:b/>
          <w:bCs/>
          <w:sz w:val="22"/>
          <w:u w:val="single"/>
          <w:lang w:val="en-GB"/>
        </w:rPr>
        <w:t xml:space="preserve">PUR </w:t>
      </w:r>
      <w:r w:rsidRPr="00362DA2">
        <w:rPr>
          <w:rFonts w:ascii="Times New Roman" w:hAnsi="Times New Roman"/>
          <w:b/>
          <w:bCs/>
          <w:sz w:val="22"/>
          <w:u w:val="single"/>
          <w:lang w:val="en-GB"/>
        </w:rPr>
        <w:t>Response</w:t>
      </w:r>
      <w:r>
        <w:rPr>
          <w:rFonts w:ascii="Times New Roman" w:hAnsi="Times New Roman"/>
          <w:b/>
          <w:bCs/>
          <w:sz w:val="22"/>
          <w:u w:val="single"/>
          <w:lang w:val="en-GB"/>
        </w:rPr>
        <w:t xml:space="preserve"> </w:t>
      </w:r>
      <w:r w:rsidRPr="00362DA2">
        <w:rPr>
          <w:rFonts w:ascii="Times New Roman" w:hAnsi="Times New Roman"/>
          <w:b/>
          <w:bCs/>
          <w:sz w:val="22"/>
          <w:u w:val="single"/>
          <w:lang w:val="en-GB"/>
        </w:rPr>
        <w:t>Window</w:t>
      </w:r>
    </w:p>
    <w:p w14:paraId="610A0DFF" w14:textId="78E81296" w:rsidR="00362DA2" w:rsidRDefault="00362DA2" w:rsidP="001611A3">
      <w:pPr>
        <w:rPr>
          <w:rFonts w:ascii="Times New Roman" w:hAnsi="Times New Roman"/>
          <w:sz w:val="20"/>
          <w:szCs w:val="20"/>
          <w:lang w:val="en-GB"/>
        </w:rPr>
      </w:pPr>
      <w:r w:rsidRPr="00362DA2">
        <w:rPr>
          <w:rFonts w:ascii="Times New Roman" w:hAnsi="Times New Roman"/>
          <w:sz w:val="20"/>
          <w:szCs w:val="20"/>
          <w:lang w:val="en-GB"/>
        </w:rPr>
        <w:t xml:space="preserve">According to TS36.321, after transmission using PUR, the MAC entity shall monitor PDCCH identified by PUR-RNTI in the PUR response window using timer </w:t>
      </w:r>
      <w:r w:rsidRPr="00362DA2">
        <w:rPr>
          <w:rFonts w:ascii="Times New Roman" w:hAnsi="Times New Roman"/>
          <w:i/>
          <w:iCs/>
          <w:sz w:val="20"/>
          <w:szCs w:val="20"/>
          <w:lang w:val="en-GB"/>
        </w:rPr>
        <w:t>pur-ResponseWindowTimer</w:t>
      </w:r>
      <w:r w:rsidRPr="00362DA2">
        <w:rPr>
          <w:rFonts w:ascii="Times New Roman" w:hAnsi="Times New Roman"/>
          <w:sz w:val="20"/>
          <w:szCs w:val="20"/>
          <w:lang w:val="en-GB"/>
        </w:rPr>
        <w:t xml:space="preserve">, which starts at the subframe that contains the end of the corresponding PUSCH transmission, plus 4 subframes (4ms), and has the length </w:t>
      </w:r>
      <w:r w:rsidRPr="00362DA2">
        <w:rPr>
          <w:rFonts w:ascii="Times New Roman" w:hAnsi="Times New Roman"/>
          <w:i/>
          <w:iCs/>
          <w:sz w:val="20"/>
          <w:szCs w:val="20"/>
          <w:lang w:val="en-GB"/>
        </w:rPr>
        <w:t>pur-ResponseWindowSize</w:t>
      </w:r>
      <w:r w:rsidRPr="00362DA2">
        <w:rPr>
          <w:rFonts w:ascii="Times New Roman" w:hAnsi="Times New Roman"/>
          <w:sz w:val="20"/>
          <w:szCs w:val="20"/>
          <w:lang w:val="en-GB"/>
        </w:rPr>
        <w:t>. Despite of that the round-trip propagation delay of NTN (12.89ms~541.46ms) can be included in the configurable range of PUR response window</w:t>
      </w:r>
      <w:r w:rsidR="00901A7E">
        <w:rPr>
          <w:rFonts w:ascii="Times New Roman" w:hAnsi="Times New Roman"/>
          <w:sz w:val="20"/>
          <w:szCs w:val="20"/>
          <w:lang w:val="en-GB"/>
        </w:rPr>
        <w:t xml:space="preserve"> (240~10240 subframes and 1~64 PDCCH periods for NB)</w:t>
      </w:r>
      <w:r w:rsidRPr="00362DA2">
        <w:rPr>
          <w:rFonts w:ascii="Times New Roman" w:hAnsi="Times New Roman"/>
          <w:sz w:val="20"/>
          <w:szCs w:val="20"/>
          <w:lang w:val="en-GB"/>
        </w:rPr>
        <w:t xml:space="preserve">, it is unnecessary to configure a large PUR response window to cover such delay. Enhancement for appropriate PUR window configuration could be useful e.g. to </w:t>
      </w:r>
      <w:r>
        <w:rPr>
          <w:rFonts w:ascii="Times New Roman" w:hAnsi="Times New Roman"/>
          <w:sz w:val="20"/>
          <w:szCs w:val="20"/>
          <w:lang w:val="en-GB"/>
        </w:rPr>
        <w:t>avoid</w:t>
      </w:r>
      <w:r w:rsidRPr="00362DA2">
        <w:rPr>
          <w:rFonts w:ascii="Times New Roman" w:hAnsi="Times New Roman"/>
          <w:sz w:val="20"/>
          <w:szCs w:val="20"/>
          <w:lang w:val="en-GB"/>
        </w:rPr>
        <w:t xml:space="preserve"> monitoring in the inevitable propagation delay for less power consumption.</w:t>
      </w:r>
      <w:r w:rsidR="00901A7E">
        <w:rPr>
          <w:rFonts w:ascii="Times New Roman" w:hAnsi="Times New Roman"/>
          <w:sz w:val="20"/>
          <w:szCs w:val="20"/>
          <w:lang w:val="en-GB"/>
        </w:rPr>
        <w:t xml:space="preserve"> A straight-forward way is to offset the </w:t>
      </w:r>
      <w:r w:rsidR="00901A7E" w:rsidRPr="00901A7E">
        <w:rPr>
          <w:rFonts w:ascii="Times New Roman" w:hAnsi="Times New Roman"/>
          <w:sz w:val="20"/>
          <w:szCs w:val="20"/>
          <w:lang w:val="en-GB"/>
        </w:rPr>
        <w:t>start of</w:t>
      </w:r>
      <w:r w:rsidR="00901A7E" w:rsidRPr="00901A7E">
        <w:rPr>
          <w:rFonts w:ascii="Times New Roman" w:hAnsi="Times New Roman"/>
          <w:i/>
          <w:iCs/>
          <w:sz w:val="20"/>
          <w:szCs w:val="20"/>
          <w:lang w:val="en-GB"/>
        </w:rPr>
        <w:t xml:space="preserve"> pur-ResponseWindowTimer </w:t>
      </w:r>
      <w:r w:rsidR="00901A7E">
        <w:rPr>
          <w:rFonts w:ascii="Times New Roman" w:hAnsi="Times New Roman"/>
          <w:sz w:val="20"/>
          <w:szCs w:val="20"/>
          <w:lang w:val="en-GB"/>
        </w:rPr>
        <w:t xml:space="preserve">by UE-gNB RTT, so that </w:t>
      </w:r>
      <w:r w:rsidR="00901A7E" w:rsidRPr="00901A7E">
        <w:rPr>
          <w:rFonts w:ascii="Times New Roman" w:hAnsi="Times New Roman"/>
          <w:sz w:val="20"/>
          <w:szCs w:val="20"/>
          <w:lang w:val="en-GB"/>
        </w:rPr>
        <w:t>UE can start monitoring after the propagation delay for less power consumption.</w:t>
      </w:r>
      <w:r w:rsidR="00901A7E">
        <w:rPr>
          <w:rFonts w:ascii="Times New Roman" w:hAnsi="Times New Roman"/>
          <w:sz w:val="20"/>
          <w:szCs w:val="20"/>
          <w:lang w:val="en-GB"/>
        </w:rPr>
        <w:t xml:space="preserve"> The offset to RAR window for NR NTN can be referred.</w:t>
      </w:r>
    </w:p>
    <w:p w14:paraId="385C0A65" w14:textId="695A6985" w:rsidR="00901A7E" w:rsidRPr="00901A7E" w:rsidRDefault="00901A7E" w:rsidP="001611A3">
      <w:pPr>
        <w:rPr>
          <w:rFonts w:ascii="Times New Roman" w:hAnsi="Times New Roman"/>
          <w:b/>
          <w:bCs/>
          <w:sz w:val="20"/>
          <w:szCs w:val="20"/>
          <w:lang w:val="en-GB"/>
        </w:rPr>
      </w:pPr>
      <w:r w:rsidRPr="00901A7E">
        <w:rPr>
          <w:rFonts w:ascii="Times New Roman" w:hAnsi="Times New Roman" w:hint="eastAsia"/>
          <w:b/>
          <w:bCs/>
          <w:sz w:val="20"/>
          <w:szCs w:val="20"/>
          <w:lang w:val="en-GB"/>
        </w:rPr>
        <w:t>P</w:t>
      </w:r>
      <w:r w:rsidRPr="00901A7E">
        <w:rPr>
          <w:rFonts w:ascii="Times New Roman" w:hAnsi="Times New Roman"/>
          <w:b/>
          <w:bCs/>
          <w:sz w:val="20"/>
          <w:szCs w:val="20"/>
          <w:lang w:val="en-GB"/>
        </w:rPr>
        <w:t xml:space="preserve">roposal 1: A time offset is applied to the start of </w:t>
      </w:r>
      <w:r w:rsidRPr="00901A7E">
        <w:rPr>
          <w:rFonts w:ascii="Times New Roman" w:hAnsi="Times New Roman"/>
          <w:b/>
          <w:bCs/>
          <w:i/>
          <w:iCs/>
          <w:sz w:val="20"/>
          <w:szCs w:val="20"/>
          <w:lang w:val="en-GB"/>
        </w:rPr>
        <w:t>pur-ResponseWindowTimer</w:t>
      </w:r>
      <w:r w:rsidRPr="00901A7E">
        <w:rPr>
          <w:rFonts w:ascii="Times New Roman" w:hAnsi="Times New Roman"/>
          <w:b/>
          <w:bCs/>
          <w:sz w:val="20"/>
          <w:szCs w:val="20"/>
          <w:lang w:val="en-GB"/>
        </w:rPr>
        <w:t>. The value of the offset could be UE-gNB RTT.</w:t>
      </w:r>
    </w:p>
    <w:p w14:paraId="13D368DB" w14:textId="202C7E63" w:rsidR="00362DA2" w:rsidRPr="00901A7E" w:rsidRDefault="00901A7E" w:rsidP="00901A7E">
      <w:pPr>
        <w:spacing w:afterLines="50" w:after="156"/>
        <w:rPr>
          <w:rFonts w:ascii="Times New Roman" w:hAnsi="Times New Roman"/>
          <w:b/>
          <w:bCs/>
          <w:sz w:val="22"/>
          <w:u w:val="single"/>
          <w:lang w:val="en-GB"/>
        </w:rPr>
      </w:pPr>
      <w:r w:rsidRPr="00901A7E">
        <w:rPr>
          <w:rFonts w:ascii="Times New Roman" w:hAnsi="Times New Roman" w:hint="eastAsia"/>
          <w:b/>
          <w:bCs/>
          <w:sz w:val="22"/>
          <w:u w:val="single"/>
          <w:lang w:val="en-GB"/>
        </w:rPr>
        <w:t>E</w:t>
      </w:r>
      <w:r w:rsidRPr="00901A7E">
        <w:rPr>
          <w:rFonts w:ascii="Times New Roman" w:hAnsi="Times New Roman"/>
          <w:b/>
          <w:bCs/>
          <w:sz w:val="22"/>
          <w:u w:val="single"/>
          <w:lang w:val="en-GB"/>
        </w:rPr>
        <w:t>nhancements for LEO satellite movements</w:t>
      </w:r>
    </w:p>
    <w:p w14:paraId="6BB31FB3" w14:textId="0FD6FE2A" w:rsidR="00901A7E" w:rsidRDefault="00901A7E" w:rsidP="00901A7E">
      <w:pPr>
        <w:rPr>
          <w:rFonts w:ascii="Times New Roman" w:hAnsi="Times New Roman"/>
          <w:sz w:val="20"/>
          <w:szCs w:val="20"/>
          <w:lang w:val="en-GB"/>
        </w:rPr>
      </w:pPr>
      <w:r w:rsidRPr="00901A7E">
        <w:rPr>
          <w:rFonts w:ascii="Times New Roman" w:hAnsi="Times New Roman"/>
          <w:sz w:val="20"/>
          <w:szCs w:val="20"/>
          <w:lang w:val="en-GB"/>
        </w:rPr>
        <w:t>For NTN LEO, there could be cell change due to satellite movement, even if the UE is static on the Earth. If a UE uploads data every few minutes, the PUR configuration may still work as the cell is available. However, if a UE uploads data every few hours (e.g. every time a satellite orbits back to cover the same area), it may not be able to benefit from PUR due to that cell change probably leads to implicit release of PUR configuration. Cell change led by node movement will cause possible release of PUR configuration, as a result PUR is valid only when the configuring cell is continuously available. This restriction limits uplink transmission using preconfigured radio resource when the cell moves</w:t>
      </w:r>
      <w:r w:rsidR="00621E8C">
        <w:rPr>
          <w:rFonts w:ascii="Times New Roman" w:hAnsi="Times New Roman"/>
          <w:sz w:val="20"/>
          <w:szCs w:val="20"/>
          <w:lang w:val="en-GB"/>
        </w:rPr>
        <w:t xml:space="preserve"> and in discontinuous coverage as well</w:t>
      </w:r>
      <w:r w:rsidRPr="00901A7E">
        <w:rPr>
          <w:rFonts w:ascii="Times New Roman" w:hAnsi="Times New Roman"/>
          <w:sz w:val="20"/>
          <w:szCs w:val="20"/>
          <w:lang w:val="en-GB"/>
        </w:rPr>
        <w:t>.</w:t>
      </w:r>
    </w:p>
    <w:p w14:paraId="341F1DC7" w14:textId="77777777" w:rsidR="00621E8C" w:rsidRDefault="00621E8C" w:rsidP="00621E8C">
      <w:pPr>
        <w:spacing w:beforeLines="50" w:before="156" w:afterLines="50" w:after="156"/>
        <w:jc w:val="center"/>
        <w:rPr>
          <w:rFonts w:ascii="Arial" w:hAnsi="Arial"/>
          <w:b/>
          <w:lang w:eastAsia="ja-JP"/>
        </w:rPr>
      </w:pPr>
      <w:r>
        <w:rPr>
          <w:rFonts w:ascii="Arial" w:hAnsi="Arial"/>
          <w:b/>
          <w:noProof/>
          <w:lang w:eastAsia="ja-JP"/>
        </w:rPr>
        <w:lastRenderedPageBreak/>
        <w:drawing>
          <wp:inline distT="0" distB="0" distL="0" distR="0" wp14:anchorId="5461C882" wp14:editId="46560F7F">
            <wp:extent cx="5996769" cy="18851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6971" cy="1894680"/>
                    </a:xfrm>
                    <a:prstGeom prst="rect">
                      <a:avLst/>
                    </a:prstGeom>
                    <a:noFill/>
                  </pic:spPr>
                </pic:pic>
              </a:graphicData>
            </a:graphic>
          </wp:inline>
        </w:drawing>
      </w:r>
    </w:p>
    <w:p w14:paraId="28C6240D" w14:textId="713130FB" w:rsidR="00621E8C" w:rsidRPr="00621E8C" w:rsidRDefault="00621E8C" w:rsidP="00621E8C">
      <w:pPr>
        <w:spacing w:beforeLines="50" w:before="156" w:afterLines="50" w:after="156"/>
        <w:jc w:val="center"/>
        <w:rPr>
          <w:rFonts w:ascii="Times New Roman" w:hAnsi="Times New Roman"/>
        </w:rPr>
      </w:pPr>
      <w:bookmarkStart w:id="6" w:name="_Hlk46504686"/>
      <w:r w:rsidRPr="00621E8C">
        <w:rPr>
          <w:rFonts w:ascii="Times New Roman" w:hAnsi="Times New Roman"/>
        </w:rPr>
        <w:t xml:space="preserve">Figure </w:t>
      </w:r>
      <w:r>
        <w:rPr>
          <w:rFonts w:ascii="Times New Roman" w:hAnsi="Times New Roman"/>
        </w:rPr>
        <w:t>1.</w:t>
      </w:r>
      <w:r w:rsidRPr="00621E8C">
        <w:rPr>
          <w:rFonts w:ascii="Times New Roman" w:hAnsi="Times New Roman"/>
        </w:rPr>
        <w:t xml:space="preserve"> PUR configuration release due to satellite movement</w:t>
      </w:r>
    </w:p>
    <w:bookmarkEnd w:id="6"/>
    <w:p w14:paraId="2FB05C42" w14:textId="45E15C7C" w:rsidR="00901A7E" w:rsidRDefault="00901A7E" w:rsidP="00901A7E">
      <w:pPr>
        <w:rPr>
          <w:rFonts w:ascii="Times New Roman" w:hAnsi="Times New Roman"/>
          <w:sz w:val="20"/>
          <w:szCs w:val="20"/>
          <w:lang w:val="en-GB"/>
        </w:rPr>
      </w:pPr>
      <w:r w:rsidRPr="00901A7E">
        <w:rPr>
          <w:rFonts w:ascii="Times New Roman" w:hAnsi="Times New Roman"/>
          <w:sz w:val="20"/>
          <w:szCs w:val="20"/>
          <w:lang w:val="en-GB"/>
        </w:rPr>
        <w:t xml:space="preserve">Another character of NTN </w:t>
      </w:r>
      <w:r w:rsidR="00621E8C">
        <w:rPr>
          <w:rFonts w:ascii="Times New Roman" w:hAnsi="Times New Roman"/>
          <w:sz w:val="20"/>
          <w:szCs w:val="20"/>
          <w:lang w:val="en-GB"/>
        </w:rPr>
        <w:t xml:space="preserve">LEO </w:t>
      </w:r>
      <w:r w:rsidRPr="00901A7E">
        <w:rPr>
          <w:rFonts w:ascii="Times New Roman" w:hAnsi="Times New Roman"/>
          <w:sz w:val="20"/>
          <w:szCs w:val="20"/>
          <w:lang w:val="en-GB"/>
        </w:rPr>
        <w:t>is stable orbit of satellite operation which makes the cell movement and/or appearance predictable. Theoretically all satellites that may serve the UE can configure PUR to omit random access. However according to the current specification configuration of PUR is limited to the configuring cell, and therefore UE has to initiate random access once in each cell to obtain PUR configuration.</w:t>
      </w:r>
    </w:p>
    <w:p w14:paraId="1A6D9027" w14:textId="77777777" w:rsidR="00621E8C" w:rsidRDefault="00621E8C" w:rsidP="00621E8C">
      <w:pPr>
        <w:spacing w:beforeLines="50" w:before="156" w:afterLines="50" w:after="156"/>
        <w:jc w:val="center"/>
        <w:rPr>
          <w:rFonts w:ascii="Arial" w:hAnsi="Arial"/>
          <w:b/>
          <w:lang w:eastAsia="ja-JP"/>
        </w:rPr>
      </w:pPr>
      <w:r>
        <w:rPr>
          <w:rFonts w:ascii="Arial" w:hAnsi="Arial"/>
          <w:b/>
          <w:noProof/>
          <w:lang w:eastAsia="ja-JP"/>
        </w:rPr>
        <w:drawing>
          <wp:inline distT="0" distB="0" distL="0" distR="0" wp14:anchorId="49242936" wp14:editId="0B4DD4A9">
            <wp:extent cx="3700307" cy="17697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3574" cy="1790413"/>
                    </a:xfrm>
                    <a:prstGeom prst="rect">
                      <a:avLst/>
                    </a:prstGeom>
                    <a:noFill/>
                  </pic:spPr>
                </pic:pic>
              </a:graphicData>
            </a:graphic>
          </wp:inline>
        </w:drawing>
      </w:r>
    </w:p>
    <w:p w14:paraId="783FF843" w14:textId="0730F005" w:rsidR="00621E8C" w:rsidRDefault="00621E8C" w:rsidP="00621E8C">
      <w:pPr>
        <w:spacing w:beforeLines="50" w:before="156" w:afterLines="50" w:after="156"/>
        <w:jc w:val="center"/>
        <w:rPr>
          <w:rFonts w:ascii="Times New Roman" w:hAnsi="Times New Roman"/>
        </w:rPr>
      </w:pPr>
      <w:r w:rsidRPr="00621E8C">
        <w:rPr>
          <w:rFonts w:ascii="Times New Roman" w:hAnsi="Times New Roman"/>
        </w:rPr>
        <w:t xml:space="preserve">Figure </w:t>
      </w:r>
      <w:r>
        <w:rPr>
          <w:rFonts w:ascii="Times New Roman" w:hAnsi="Times New Roman"/>
        </w:rPr>
        <w:t>2.</w:t>
      </w:r>
      <w:r w:rsidRPr="00621E8C">
        <w:rPr>
          <w:rFonts w:ascii="Times New Roman" w:hAnsi="Times New Roman"/>
        </w:rPr>
        <w:t xml:space="preserve"> PUR configuration is limited to the configuring cell</w:t>
      </w:r>
    </w:p>
    <w:p w14:paraId="7B749367" w14:textId="3F09B544" w:rsidR="00621E8C" w:rsidRPr="00621E8C" w:rsidRDefault="00621E8C" w:rsidP="00621E8C">
      <w:pPr>
        <w:spacing w:beforeLines="50" w:before="156" w:afterLines="50" w:after="156"/>
        <w:rPr>
          <w:rFonts w:ascii="Times New Roman" w:hAnsi="Times New Roman"/>
        </w:rPr>
      </w:pPr>
      <w:r>
        <w:rPr>
          <w:rFonts w:ascii="Times New Roman" w:hAnsi="Times New Roman" w:hint="eastAsia"/>
        </w:rPr>
        <w:t>Based</w:t>
      </w:r>
      <w:r>
        <w:rPr>
          <w:rFonts w:ascii="Times New Roman" w:hAnsi="Times New Roman"/>
        </w:rPr>
        <w:t xml:space="preserve"> on the above analysis further enhancements can be considered for PUR in LEO coverage.</w:t>
      </w:r>
    </w:p>
    <w:p w14:paraId="673F7684" w14:textId="4961CA3B" w:rsidR="004E0A14" w:rsidRDefault="00543487" w:rsidP="004E0A14">
      <w:pPr>
        <w:rPr>
          <w:rFonts w:ascii="Times New Roman" w:hAnsi="Times New Roman"/>
          <w:b/>
          <w:bCs/>
          <w:sz w:val="20"/>
          <w:szCs w:val="20"/>
          <w:lang w:val="en-GB"/>
        </w:rPr>
      </w:pPr>
      <w:r w:rsidRPr="00543487">
        <w:rPr>
          <w:rFonts w:ascii="Times New Roman" w:hAnsi="Times New Roman" w:hint="eastAsia"/>
          <w:b/>
          <w:bCs/>
          <w:sz w:val="20"/>
          <w:szCs w:val="20"/>
          <w:lang w:val="en-GB"/>
        </w:rPr>
        <w:t>P</w:t>
      </w:r>
      <w:r w:rsidRPr="00543487">
        <w:rPr>
          <w:rFonts w:ascii="Times New Roman" w:hAnsi="Times New Roman"/>
          <w:b/>
          <w:bCs/>
          <w:sz w:val="20"/>
          <w:szCs w:val="20"/>
          <w:lang w:val="en-GB"/>
        </w:rPr>
        <w:t xml:space="preserve">roposal </w:t>
      </w:r>
      <w:r w:rsidR="00621E8C">
        <w:rPr>
          <w:rFonts w:ascii="Times New Roman" w:hAnsi="Times New Roman"/>
          <w:b/>
          <w:bCs/>
          <w:sz w:val="20"/>
          <w:szCs w:val="20"/>
          <w:lang w:val="en-GB"/>
        </w:rPr>
        <w:t>2</w:t>
      </w:r>
      <w:r w:rsidRPr="00543487">
        <w:rPr>
          <w:rFonts w:ascii="Times New Roman" w:hAnsi="Times New Roman"/>
          <w:b/>
          <w:bCs/>
          <w:sz w:val="20"/>
          <w:szCs w:val="20"/>
          <w:lang w:val="en-GB"/>
        </w:rPr>
        <w:t xml:space="preserve">: </w:t>
      </w:r>
      <w:r w:rsidR="00621E8C">
        <w:rPr>
          <w:rFonts w:ascii="Times New Roman" w:hAnsi="Times New Roman"/>
          <w:b/>
          <w:bCs/>
          <w:sz w:val="20"/>
          <w:szCs w:val="20"/>
          <w:lang w:val="en-GB"/>
        </w:rPr>
        <w:t>Discuss further enhancements including configuration release and neighbouring configuration for PUR in IoT NTN</w:t>
      </w:r>
      <w:r w:rsidRPr="00543487">
        <w:rPr>
          <w:rFonts w:ascii="Times New Roman" w:hAnsi="Times New Roman"/>
          <w:b/>
          <w:bCs/>
          <w:sz w:val="20"/>
          <w:szCs w:val="20"/>
          <w:lang w:val="en-GB"/>
        </w:rPr>
        <w:t>.</w:t>
      </w:r>
    </w:p>
    <w:bookmarkEnd w:id="5"/>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5CE7E89" w14:textId="6599C18F"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In this contribution</w:t>
      </w:r>
      <w:r w:rsidR="00E75295" w:rsidRPr="00E75295">
        <w:rPr>
          <w:rFonts w:ascii="Times New Roman" w:hAnsi="Times New Roman"/>
          <w:sz w:val="20"/>
          <w:szCs w:val="20"/>
          <w:lang w:val="en-GB"/>
        </w:rPr>
        <w:t xml:space="preserve"> </w:t>
      </w:r>
      <w:r w:rsidR="00E75295">
        <w:rPr>
          <w:rFonts w:ascii="Times New Roman" w:hAnsi="Times New Roman"/>
          <w:sz w:val="20"/>
          <w:szCs w:val="20"/>
          <w:lang w:val="en-GB"/>
        </w:rPr>
        <w:t xml:space="preserve">we </w:t>
      </w:r>
      <w:r w:rsidR="00621E8C" w:rsidRPr="00621E8C">
        <w:rPr>
          <w:rFonts w:ascii="Times New Roman" w:hAnsi="Times New Roman"/>
          <w:sz w:val="20"/>
          <w:szCs w:val="20"/>
          <w:lang w:val="en-GB"/>
        </w:rPr>
        <w:t xml:space="preserve">give further discussion on </w:t>
      </w:r>
      <w:r w:rsidR="00621E8C">
        <w:rPr>
          <w:rFonts w:ascii="Times New Roman" w:hAnsi="Times New Roman"/>
          <w:sz w:val="20"/>
          <w:szCs w:val="20"/>
          <w:lang w:val="en-GB"/>
        </w:rPr>
        <w:t>enhancing</w:t>
      </w:r>
      <w:r w:rsidR="00621E8C" w:rsidRPr="00621E8C">
        <w:rPr>
          <w:rFonts w:ascii="Times New Roman" w:hAnsi="Times New Roman"/>
          <w:sz w:val="20"/>
          <w:szCs w:val="20"/>
          <w:lang w:val="en-GB"/>
        </w:rPr>
        <w:t xml:space="preserve"> PUR in IoT NTN. The following </w:t>
      </w:r>
      <w:r w:rsidR="00621E8C">
        <w:rPr>
          <w:rFonts w:ascii="Times New Roman" w:hAnsi="Times New Roman"/>
          <w:sz w:val="20"/>
          <w:szCs w:val="20"/>
          <w:lang w:val="en-GB"/>
        </w:rPr>
        <w:t>proposals</w:t>
      </w:r>
      <w:r w:rsidR="00621E8C" w:rsidRPr="00621E8C">
        <w:rPr>
          <w:rFonts w:ascii="Times New Roman" w:hAnsi="Times New Roman"/>
          <w:sz w:val="20"/>
          <w:szCs w:val="20"/>
          <w:lang w:val="en-GB"/>
        </w:rPr>
        <w:t xml:space="preserve"> are given:</w:t>
      </w:r>
    </w:p>
    <w:p w14:paraId="6B17712A" w14:textId="77777777" w:rsidR="00621E8C" w:rsidRPr="00901A7E" w:rsidRDefault="00621E8C" w:rsidP="00621E8C">
      <w:pPr>
        <w:rPr>
          <w:rFonts w:ascii="Times New Roman" w:hAnsi="Times New Roman"/>
          <w:b/>
          <w:bCs/>
          <w:sz w:val="20"/>
          <w:szCs w:val="20"/>
          <w:lang w:val="en-GB"/>
        </w:rPr>
      </w:pPr>
      <w:r w:rsidRPr="00901A7E">
        <w:rPr>
          <w:rFonts w:ascii="Times New Roman" w:hAnsi="Times New Roman" w:hint="eastAsia"/>
          <w:b/>
          <w:bCs/>
          <w:sz w:val="20"/>
          <w:szCs w:val="20"/>
          <w:lang w:val="en-GB"/>
        </w:rPr>
        <w:t>P</w:t>
      </w:r>
      <w:r w:rsidRPr="00901A7E">
        <w:rPr>
          <w:rFonts w:ascii="Times New Roman" w:hAnsi="Times New Roman"/>
          <w:b/>
          <w:bCs/>
          <w:sz w:val="20"/>
          <w:szCs w:val="20"/>
          <w:lang w:val="en-GB"/>
        </w:rPr>
        <w:t xml:space="preserve">roposal 1: A time offset is applied to the start of </w:t>
      </w:r>
      <w:r w:rsidRPr="00901A7E">
        <w:rPr>
          <w:rFonts w:ascii="Times New Roman" w:hAnsi="Times New Roman"/>
          <w:b/>
          <w:bCs/>
          <w:i/>
          <w:iCs/>
          <w:sz w:val="20"/>
          <w:szCs w:val="20"/>
          <w:lang w:val="en-GB"/>
        </w:rPr>
        <w:t>pur-ResponseWindowTimer</w:t>
      </w:r>
      <w:r w:rsidRPr="00901A7E">
        <w:rPr>
          <w:rFonts w:ascii="Times New Roman" w:hAnsi="Times New Roman"/>
          <w:b/>
          <w:bCs/>
          <w:sz w:val="20"/>
          <w:szCs w:val="20"/>
          <w:lang w:val="en-GB"/>
        </w:rPr>
        <w:t>. The value of the offset could be UE-gNB RTT.</w:t>
      </w:r>
    </w:p>
    <w:p w14:paraId="2CCA1B8A" w14:textId="7EE1322A" w:rsidR="00636295" w:rsidRPr="00621E8C" w:rsidRDefault="00621E8C" w:rsidP="00621E8C">
      <w:pPr>
        <w:rPr>
          <w:rFonts w:ascii="Times New Roman" w:hAnsi="Times New Roman"/>
          <w:b/>
          <w:bCs/>
          <w:sz w:val="20"/>
          <w:szCs w:val="20"/>
          <w:lang w:val="en-GB"/>
        </w:rPr>
      </w:pPr>
      <w:r w:rsidRPr="00543487">
        <w:rPr>
          <w:rFonts w:ascii="Times New Roman" w:hAnsi="Times New Roman" w:hint="eastAsia"/>
          <w:b/>
          <w:bCs/>
          <w:sz w:val="20"/>
          <w:szCs w:val="20"/>
          <w:lang w:val="en-GB"/>
        </w:rPr>
        <w:t>P</w:t>
      </w:r>
      <w:r w:rsidRPr="00543487">
        <w:rPr>
          <w:rFonts w:ascii="Times New Roman" w:hAnsi="Times New Roman"/>
          <w:b/>
          <w:bCs/>
          <w:sz w:val="20"/>
          <w:szCs w:val="20"/>
          <w:lang w:val="en-GB"/>
        </w:rPr>
        <w:t xml:space="preserve">roposal </w:t>
      </w:r>
      <w:r>
        <w:rPr>
          <w:rFonts w:ascii="Times New Roman" w:hAnsi="Times New Roman"/>
          <w:b/>
          <w:bCs/>
          <w:sz w:val="20"/>
          <w:szCs w:val="20"/>
          <w:lang w:val="en-GB"/>
        </w:rPr>
        <w:t>2</w:t>
      </w:r>
      <w:r w:rsidRPr="00543487">
        <w:rPr>
          <w:rFonts w:ascii="Times New Roman" w:hAnsi="Times New Roman"/>
          <w:b/>
          <w:bCs/>
          <w:sz w:val="20"/>
          <w:szCs w:val="20"/>
          <w:lang w:val="en-GB"/>
        </w:rPr>
        <w:t xml:space="preserve">: </w:t>
      </w:r>
      <w:r>
        <w:rPr>
          <w:rFonts w:ascii="Times New Roman" w:hAnsi="Times New Roman"/>
          <w:b/>
          <w:bCs/>
          <w:sz w:val="20"/>
          <w:szCs w:val="20"/>
          <w:lang w:val="en-GB"/>
        </w:rPr>
        <w:t>Discuss further enhancements including configuration release and neighbouring configuration for PUR in IoT NTN</w:t>
      </w:r>
      <w:r w:rsidRPr="00543487">
        <w:rPr>
          <w:rFonts w:ascii="Times New Roman" w:hAnsi="Times New Roman"/>
          <w:b/>
          <w:bCs/>
          <w:sz w:val="20"/>
          <w:szCs w:val="20"/>
          <w:lang w:val="en-GB"/>
        </w:rPr>
        <w:t>.</w:t>
      </w:r>
    </w:p>
    <w:sectPr w:rsidR="00636295" w:rsidRPr="00621E8C"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BA745" w14:textId="77777777" w:rsidR="003359BC" w:rsidRDefault="003359BC">
      <w:r>
        <w:separator/>
      </w:r>
    </w:p>
  </w:endnote>
  <w:endnote w:type="continuationSeparator" w:id="0">
    <w:p w14:paraId="132EBF74" w14:textId="77777777" w:rsidR="003359BC" w:rsidRDefault="0033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4381C" w14:textId="77777777" w:rsidR="003359BC" w:rsidRDefault="003359BC">
      <w:r>
        <w:separator/>
      </w:r>
    </w:p>
  </w:footnote>
  <w:footnote w:type="continuationSeparator" w:id="0">
    <w:p w14:paraId="620BEECD" w14:textId="77777777" w:rsidR="003359BC" w:rsidRDefault="00335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FE1B47"/>
    <w:multiLevelType w:val="hybridMultilevel"/>
    <w:tmpl w:val="3692F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E33F0"/>
    <w:multiLevelType w:val="hybridMultilevel"/>
    <w:tmpl w:val="53BCD66A"/>
    <w:lvl w:ilvl="0" w:tplc="B3D46A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3"/>
  </w:num>
  <w:num w:numId="3">
    <w:abstractNumId w:val="33"/>
  </w:num>
  <w:num w:numId="4">
    <w:abstractNumId w:val="5"/>
  </w:num>
  <w:num w:numId="5">
    <w:abstractNumId w:val="34"/>
  </w:num>
  <w:num w:numId="6">
    <w:abstractNumId w:val="16"/>
  </w:num>
  <w:num w:numId="7">
    <w:abstractNumId w:val="12"/>
  </w:num>
  <w:num w:numId="8">
    <w:abstractNumId w:val="28"/>
  </w:num>
  <w:num w:numId="9">
    <w:abstractNumId w:val="7"/>
  </w:num>
  <w:num w:numId="10">
    <w:abstractNumId w:val="23"/>
  </w:num>
  <w:num w:numId="11">
    <w:abstractNumId w:val="25"/>
  </w:num>
  <w:num w:numId="12">
    <w:abstractNumId w:val="21"/>
  </w:num>
  <w:num w:numId="13">
    <w:abstractNumId w:val="26"/>
  </w:num>
  <w:num w:numId="14">
    <w:abstractNumId w:val="14"/>
  </w:num>
  <w:num w:numId="15">
    <w:abstractNumId w:val="4"/>
  </w:num>
  <w:num w:numId="16">
    <w:abstractNumId w:val="22"/>
  </w:num>
  <w:num w:numId="17">
    <w:abstractNumId w:val="30"/>
  </w:num>
  <w:num w:numId="18">
    <w:abstractNumId w:val="24"/>
  </w:num>
  <w:num w:numId="19">
    <w:abstractNumId w:val="30"/>
  </w:num>
  <w:num w:numId="20">
    <w:abstractNumId w:val="29"/>
  </w:num>
  <w:num w:numId="21">
    <w:abstractNumId w:val="30"/>
  </w:num>
  <w:num w:numId="22">
    <w:abstractNumId w:val="11"/>
  </w:num>
  <w:num w:numId="23">
    <w:abstractNumId w:val="30"/>
  </w:num>
  <w:num w:numId="24">
    <w:abstractNumId w:val="10"/>
  </w:num>
  <w:num w:numId="25">
    <w:abstractNumId w:val="9"/>
  </w:num>
  <w:num w:numId="26">
    <w:abstractNumId w:val="17"/>
  </w:num>
  <w:num w:numId="27">
    <w:abstractNumId w:val="31"/>
  </w:num>
  <w:num w:numId="28">
    <w:abstractNumId w:val="6"/>
  </w:num>
  <w:num w:numId="29">
    <w:abstractNumId w:val="27"/>
  </w:num>
  <w:num w:numId="30">
    <w:abstractNumId w:val="15"/>
  </w:num>
  <w:num w:numId="31">
    <w:abstractNumId w:val="35"/>
  </w:num>
  <w:num w:numId="32">
    <w:abstractNumId w:val="19"/>
  </w:num>
  <w:num w:numId="33">
    <w:abstractNumId w:val="1"/>
  </w:num>
  <w:num w:numId="34">
    <w:abstractNumId w:val="13"/>
  </w:num>
  <w:num w:numId="35">
    <w:abstractNumId w:val="0"/>
  </w:num>
  <w:num w:numId="36">
    <w:abstractNumId w:val="32"/>
  </w:num>
  <w:num w:numId="37">
    <w:abstractNumId w:val="18"/>
  </w:num>
  <w:num w:numId="38">
    <w:abstractNumId w:val="8"/>
  </w:num>
  <w:num w:numId="39">
    <w:abstractNumId w:val="2"/>
  </w:num>
  <w:num w:numId="40">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733"/>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197"/>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0F7BBE"/>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38"/>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9BC"/>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DA2"/>
    <w:rsid w:val="003632FF"/>
    <w:rsid w:val="00363B83"/>
    <w:rsid w:val="00364320"/>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3F"/>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3FD1"/>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1C0D"/>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91A"/>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5F7D67"/>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8C"/>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5BB9"/>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D14"/>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A7E"/>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8FB"/>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1B82"/>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6F2"/>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855"/>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AF4"/>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58D"/>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C28"/>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0E55"/>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C0E"/>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1</Pages>
  <Words>578</Words>
  <Characters>3300</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67</cp:revision>
  <cp:lastPrinted>2012-10-30T00:20:00Z</cp:lastPrinted>
  <dcterms:created xsi:type="dcterms:W3CDTF">2020-08-03T07:44:00Z</dcterms:created>
  <dcterms:modified xsi:type="dcterms:W3CDTF">2021-08-06T00:46:00Z</dcterms:modified>
</cp:coreProperties>
</file>